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5D43" w14:textId="18572802" w:rsidR="00DF2DC6" w:rsidRDefault="000E2621">
      <w:r>
        <w:rPr>
          <w:noProof/>
          <w:color w:val="002060"/>
        </w:rPr>
        <w:drawing>
          <wp:inline distT="0" distB="0" distL="0" distR="0" wp14:anchorId="62A68B1F" wp14:editId="5E3FA521">
            <wp:extent cx="1314450" cy="643121"/>
            <wp:effectExtent l="0" t="0" r="0" b="5080"/>
            <wp:docPr id="1" name="Picture 1" descr="cid:image001.png@01D5D505.4D607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5D505.4D607E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82" cy="6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F912" w14:textId="77777777" w:rsidR="009D0164" w:rsidRDefault="009D0164"/>
    <w:p w14:paraId="5917750E" w14:textId="7F777F12" w:rsidR="00DF2DC6" w:rsidRPr="009D0164" w:rsidRDefault="00DF2DC6">
      <w:pPr>
        <w:rPr>
          <w:rFonts w:ascii="Work Sans" w:hAnsi="Work Sans"/>
          <w:b/>
          <w:sz w:val="72"/>
          <w:szCs w:val="72"/>
        </w:rPr>
      </w:pPr>
      <w:r w:rsidRPr="000E2621">
        <w:rPr>
          <w:rFonts w:ascii="Work Sans" w:hAnsi="Work Sans"/>
          <w:b/>
          <w:sz w:val="72"/>
          <w:szCs w:val="72"/>
        </w:rPr>
        <w:t xml:space="preserve">MOVE IN </w:t>
      </w:r>
      <w:r w:rsidR="006A71D3" w:rsidRPr="000E2621">
        <w:rPr>
          <w:rFonts w:ascii="Work Sans" w:hAnsi="Work Sans"/>
          <w:b/>
          <w:sz w:val="72"/>
          <w:szCs w:val="72"/>
        </w:rPr>
        <w:t>ISSUE</w:t>
      </w:r>
      <w:r w:rsidR="000E2621" w:rsidRPr="000E2621">
        <w:rPr>
          <w:rFonts w:ascii="Work Sans" w:hAnsi="Work Sans"/>
          <w:b/>
          <w:sz w:val="72"/>
          <w:szCs w:val="72"/>
        </w:rPr>
        <w:t xml:space="preserve"> </w:t>
      </w:r>
      <w:r w:rsidRPr="000E2621">
        <w:rPr>
          <w:rFonts w:ascii="Work Sans" w:hAnsi="Work Sans"/>
          <w:b/>
          <w:bCs/>
          <w:color w:val="C00000"/>
          <w:sz w:val="72"/>
          <w:szCs w:val="72"/>
        </w:rPr>
        <w:t xml:space="preserve">REPORT </w:t>
      </w:r>
    </w:p>
    <w:p w14:paraId="7C34E557" w14:textId="77777777" w:rsidR="008365CA" w:rsidRDefault="008365CA">
      <w:pPr>
        <w:rPr>
          <w:rFonts w:ascii="Work Sans" w:hAnsi="Work Sans"/>
          <w:b/>
          <w:sz w:val="24"/>
          <w:szCs w:val="24"/>
        </w:rPr>
      </w:pPr>
    </w:p>
    <w:tbl>
      <w:tblPr>
        <w:tblStyle w:val="TableGrid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DF2DC6" w14:paraId="4EDC0AA4" w14:textId="77777777" w:rsidTr="009D0164">
        <w:trPr>
          <w:trHeight w:val="2579"/>
        </w:trPr>
        <w:tc>
          <w:tcPr>
            <w:tcW w:w="9106" w:type="dxa"/>
          </w:tcPr>
          <w:p w14:paraId="73F27A11" w14:textId="77777777"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14:paraId="3841D22A" w14:textId="77777777"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b/>
                <w:sz w:val="24"/>
                <w:szCs w:val="24"/>
              </w:rPr>
              <w:t xml:space="preserve">NAME: </w:t>
            </w:r>
          </w:p>
          <w:p w14:paraId="502875FD" w14:textId="77777777"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14:paraId="3B4357DB" w14:textId="77777777"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DF2DC6">
              <w:rPr>
                <w:rFonts w:ascii="Work Sans" w:hAnsi="Work Sans"/>
                <w:b/>
                <w:sz w:val="24"/>
                <w:szCs w:val="24"/>
              </w:rPr>
              <w:t>TENANT ID</w:t>
            </w:r>
            <w:r>
              <w:rPr>
                <w:rFonts w:ascii="Work Sans" w:hAnsi="Work Sans"/>
                <w:b/>
                <w:sz w:val="24"/>
                <w:szCs w:val="24"/>
              </w:rPr>
              <w:t>:</w:t>
            </w:r>
          </w:p>
          <w:p w14:paraId="218E4A72" w14:textId="6BAD9808"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DF2DC6">
              <w:rPr>
                <w:rFonts w:ascii="Work Sans" w:hAnsi="Work Sans"/>
                <w:b/>
                <w:sz w:val="24"/>
                <w:szCs w:val="24"/>
              </w:rPr>
              <w:br/>
            </w:r>
            <w:r w:rsidR="007A6EC7">
              <w:rPr>
                <w:rFonts w:ascii="Work Sans" w:hAnsi="Work Sans"/>
                <w:b/>
                <w:sz w:val="24"/>
                <w:szCs w:val="24"/>
              </w:rPr>
              <w:t>DORM &amp; ROOM NUMBER</w:t>
            </w:r>
            <w:r>
              <w:rPr>
                <w:rFonts w:ascii="Work Sans" w:hAnsi="Work Sans"/>
                <w:b/>
                <w:sz w:val="24"/>
                <w:szCs w:val="24"/>
              </w:rPr>
              <w:t>:</w:t>
            </w:r>
          </w:p>
          <w:p w14:paraId="6ACAC1BE" w14:textId="77777777" w:rsidR="00DF2DC6" w:rsidRP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14:paraId="7F77770D" w14:textId="77777777"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DF2DC6">
              <w:rPr>
                <w:rFonts w:ascii="Work Sans" w:hAnsi="Work Sans"/>
                <w:b/>
                <w:sz w:val="24"/>
                <w:szCs w:val="24"/>
              </w:rPr>
              <w:t xml:space="preserve">PHONE NUMBER: </w:t>
            </w:r>
          </w:p>
          <w:p w14:paraId="251F369E" w14:textId="77777777" w:rsidR="002A00B3" w:rsidRDefault="002A00B3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14:paraId="397F1FD8" w14:textId="77777777" w:rsidR="002A00B3" w:rsidRDefault="002A00B3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b/>
                <w:sz w:val="24"/>
                <w:szCs w:val="24"/>
              </w:rPr>
              <w:t xml:space="preserve">E-MAIL: </w:t>
            </w:r>
          </w:p>
          <w:p w14:paraId="5CF57024" w14:textId="77777777" w:rsidR="00DF2DC6" w:rsidRDefault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</w:tc>
      </w:tr>
    </w:tbl>
    <w:p w14:paraId="6A910F31" w14:textId="77777777" w:rsidR="00DF2DC6" w:rsidRDefault="00DF2DC6">
      <w:pPr>
        <w:rPr>
          <w:rFonts w:ascii="Work Sans" w:hAnsi="Work Sans"/>
          <w:b/>
          <w:sz w:val="24"/>
          <w:szCs w:val="24"/>
        </w:rPr>
      </w:pPr>
    </w:p>
    <w:p w14:paraId="3DCF5189" w14:textId="77777777" w:rsidR="008365CA" w:rsidRDefault="008365CA">
      <w:pPr>
        <w:rPr>
          <w:rFonts w:ascii="Work Sans" w:hAnsi="Work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E79" w14:paraId="40FC9E10" w14:textId="77777777" w:rsidTr="009D0164">
        <w:trPr>
          <w:trHeight w:val="41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9F2" w14:textId="77777777" w:rsidR="009D0164" w:rsidRDefault="009D0164" w:rsidP="007059DE">
            <w:pPr>
              <w:rPr>
                <w:rFonts w:ascii="Work Sans" w:hAnsi="Work Sans"/>
                <w:b/>
                <w:color w:val="C00000"/>
                <w:sz w:val="24"/>
                <w:szCs w:val="24"/>
              </w:rPr>
            </w:pPr>
          </w:p>
          <w:p w14:paraId="5A00ADEE" w14:textId="68510978" w:rsidR="00240E79" w:rsidRPr="000E2621" w:rsidRDefault="00240E79" w:rsidP="007059DE">
            <w:pPr>
              <w:rPr>
                <w:rFonts w:ascii="Work Sans" w:hAnsi="Work Sans"/>
                <w:b/>
                <w:color w:val="C00000"/>
                <w:sz w:val="24"/>
                <w:szCs w:val="24"/>
              </w:rPr>
            </w:pPr>
            <w:r w:rsidRPr="000E2621">
              <w:rPr>
                <w:rFonts w:ascii="Work Sans" w:hAnsi="Work Sans"/>
                <w:b/>
                <w:color w:val="C00000"/>
                <w:sz w:val="24"/>
                <w:szCs w:val="24"/>
              </w:rPr>
              <w:t xml:space="preserve">IMPORTANT INFORMATION </w:t>
            </w:r>
          </w:p>
          <w:p w14:paraId="671D6936" w14:textId="77777777" w:rsidR="00240E79" w:rsidRPr="00F84154" w:rsidRDefault="00240E79" w:rsidP="00240E79">
            <w:pPr>
              <w:rPr>
                <w:rFonts w:ascii="Work Sans" w:hAnsi="Work Sans"/>
                <w:b/>
              </w:rPr>
            </w:pPr>
          </w:p>
          <w:p w14:paraId="6FC46584" w14:textId="1D9F8A5F" w:rsidR="007A6EC7" w:rsidRPr="008365CA" w:rsidRDefault="007A6EC7" w:rsidP="007A6EC7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Work Sans" w:hAnsi="Work Sans"/>
                <w:color w:val="C00000"/>
                <w:sz w:val="24"/>
                <w:szCs w:val="24"/>
              </w:rPr>
            </w:pPr>
            <w:r w:rsidRPr="008365CA">
              <w:rPr>
                <w:rFonts w:ascii="Work Sans" w:hAnsi="Work Sans"/>
                <w:color w:val="C00000"/>
                <w:sz w:val="24"/>
                <w:szCs w:val="24"/>
              </w:rPr>
              <w:t xml:space="preserve">The Move-in issue report </w:t>
            </w:r>
            <w:r w:rsidRPr="008365CA">
              <w:rPr>
                <w:rFonts w:ascii="Work Sans" w:hAnsi="Work Sans"/>
                <w:b/>
                <w:bCs/>
                <w:color w:val="C00000"/>
                <w:sz w:val="24"/>
                <w:szCs w:val="24"/>
              </w:rPr>
              <w:t>only</w:t>
            </w:r>
            <w:r w:rsidRPr="008365CA">
              <w:rPr>
                <w:rFonts w:ascii="Work Sans" w:hAnsi="Work Sans"/>
                <w:color w:val="C00000"/>
                <w:sz w:val="24"/>
                <w:szCs w:val="24"/>
              </w:rPr>
              <w:t xml:space="preserve"> concerns wear &amp; tear issues. </w:t>
            </w:r>
          </w:p>
          <w:p w14:paraId="42B2EC21" w14:textId="77777777" w:rsidR="008365CA" w:rsidRDefault="008365CA" w:rsidP="007A6EC7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Work Sans" w:hAnsi="Work Sans"/>
                <w:color w:val="C00000"/>
              </w:rPr>
            </w:pPr>
          </w:p>
          <w:p w14:paraId="3ED009F4" w14:textId="7085D675" w:rsidR="008365CA" w:rsidRPr="00F84154" w:rsidRDefault="008365CA" w:rsidP="008365CA">
            <w:pPr>
              <w:pStyle w:val="ListBullet"/>
              <w:rPr>
                <w:rFonts w:ascii="Work Sans" w:hAnsi="Work Sans"/>
              </w:rPr>
            </w:pPr>
            <w:r w:rsidRPr="00F84154">
              <w:rPr>
                <w:rFonts w:ascii="Work Sans" w:hAnsi="Work Sans"/>
                <w:color w:val="000000" w:themeColor="text1"/>
              </w:rPr>
              <w:t xml:space="preserve">You do </w:t>
            </w:r>
            <w:r w:rsidRPr="000E2621">
              <w:rPr>
                <w:rFonts w:ascii="Work Sans" w:hAnsi="Work Sans"/>
                <w:b/>
              </w:rPr>
              <w:t>not</w:t>
            </w:r>
            <w:r w:rsidRPr="000E2621">
              <w:rPr>
                <w:rFonts w:ascii="Work Sans" w:hAnsi="Work Sans"/>
              </w:rPr>
              <w:t xml:space="preserve"> </w:t>
            </w:r>
            <w:r w:rsidRPr="00F84154">
              <w:rPr>
                <w:rFonts w:ascii="Work Sans" w:hAnsi="Work Sans"/>
                <w:color w:val="000000" w:themeColor="text1"/>
              </w:rPr>
              <w:t>need to upload photos that are already part of your Mov</w:t>
            </w:r>
            <w:r>
              <w:rPr>
                <w:rFonts w:ascii="Work Sans" w:hAnsi="Work Sans"/>
                <w:color w:val="000000" w:themeColor="text1"/>
              </w:rPr>
              <w:t>e</w:t>
            </w:r>
            <w:r w:rsidRPr="00F84154">
              <w:rPr>
                <w:rFonts w:ascii="Work Sans" w:hAnsi="Work Sans"/>
                <w:color w:val="000000" w:themeColor="text1"/>
              </w:rPr>
              <w:t>-in inspection report. These are already recorded, and you will not be held responsible for any of those issues when moving out.</w:t>
            </w:r>
          </w:p>
          <w:p w14:paraId="775B28E5" w14:textId="4E1AADAE" w:rsidR="007A6EC7" w:rsidRPr="007A6EC7" w:rsidRDefault="007A6EC7" w:rsidP="008365C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Work Sans" w:hAnsi="Work Sans"/>
                <w:color w:val="C00000"/>
              </w:rPr>
            </w:pPr>
          </w:p>
          <w:p w14:paraId="3789BD0D" w14:textId="51C8389D" w:rsidR="008365CA" w:rsidRPr="008365CA" w:rsidRDefault="008365CA" w:rsidP="008365CA">
            <w:pPr>
              <w:pStyle w:val="ListBullet"/>
              <w:rPr>
                <w:rFonts w:ascii="Work Sans" w:hAnsi="Work Sans"/>
              </w:rPr>
            </w:pPr>
            <w:r w:rsidRPr="008365CA">
              <w:rPr>
                <w:rFonts w:ascii="Work Sans" w:hAnsi="Work Sans"/>
              </w:rPr>
              <w:t>A wear &amp; tear issue can be scratches</w:t>
            </w:r>
            <w:r>
              <w:rPr>
                <w:rFonts w:ascii="Work Sans" w:hAnsi="Work Sans"/>
              </w:rPr>
              <w:t>/marks</w:t>
            </w:r>
            <w:r w:rsidRPr="008365CA">
              <w:rPr>
                <w:rFonts w:ascii="Work Sans" w:hAnsi="Work Sans"/>
              </w:rPr>
              <w:t xml:space="preserve"> on fixtures and inventory that doesn’t require immediate attention.</w:t>
            </w:r>
            <w:r>
              <w:rPr>
                <w:rFonts w:ascii="Work Sans" w:hAnsi="Work Sans"/>
              </w:rPr>
              <w:t xml:space="preserve"> F</w:t>
            </w:r>
            <w:r w:rsidRPr="008365CA">
              <w:rPr>
                <w:rFonts w:ascii="Work Sans" w:hAnsi="Work Sans"/>
              </w:rPr>
              <w:t xml:space="preserve">or </w:t>
            </w:r>
            <w:r w:rsidRPr="008365CA">
              <w:rPr>
                <w:rFonts w:ascii="Work Sans" w:hAnsi="Work Sans"/>
              </w:rPr>
              <w:t>example,</w:t>
            </w:r>
            <w:r>
              <w:rPr>
                <w:rFonts w:ascii="Work Sans" w:hAnsi="Work Sans"/>
              </w:rPr>
              <w:t xml:space="preserve"> stains on mattress, scratch on the wall, marks on the table, build up calcium or grease on hotplates etc. </w:t>
            </w:r>
          </w:p>
          <w:p w14:paraId="6F053E8D" w14:textId="77777777" w:rsidR="007A6EC7" w:rsidRPr="007A6EC7" w:rsidRDefault="007A6EC7" w:rsidP="007A6EC7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Work Sans" w:hAnsi="Work Sans"/>
                <w:b/>
                <w:bCs/>
                <w:color w:val="C00000"/>
              </w:rPr>
            </w:pPr>
          </w:p>
          <w:p w14:paraId="2947C105" w14:textId="77777777" w:rsidR="008365CA" w:rsidRDefault="00240E79" w:rsidP="00240E79">
            <w:pPr>
              <w:pStyle w:val="ListBullet"/>
              <w:rPr>
                <w:rFonts w:ascii="Work Sans" w:hAnsi="Work Sans"/>
              </w:rPr>
            </w:pPr>
            <w:r w:rsidRPr="00F84154">
              <w:rPr>
                <w:rFonts w:ascii="Work Sans" w:hAnsi="Work Sans"/>
              </w:rPr>
              <w:t>Please put maximum 3 pictures</w:t>
            </w:r>
            <w:r w:rsidR="000E2621">
              <w:rPr>
                <w:rFonts w:ascii="Work Sans" w:hAnsi="Work Sans"/>
              </w:rPr>
              <w:t xml:space="preserve"> </w:t>
            </w:r>
            <w:r w:rsidRPr="00F84154">
              <w:rPr>
                <w:rFonts w:ascii="Work Sans" w:hAnsi="Work Sans"/>
              </w:rPr>
              <w:t>(JPEG) per issue into the report.</w:t>
            </w:r>
          </w:p>
          <w:p w14:paraId="14F36BF3" w14:textId="77777777" w:rsidR="00F84154" w:rsidRDefault="00F84154" w:rsidP="008365CA">
            <w:pPr>
              <w:pStyle w:val="ListBullet"/>
              <w:numPr>
                <w:ilvl w:val="0"/>
                <w:numId w:val="0"/>
              </w:numPr>
              <w:rPr>
                <w:rFonts w:ascii="Work Sans" w:hAnsi="Work Sans"/>
              </w:rPr>
            </w:pPr>
          </w:p>
          <w:p w14:paraId="795FFE7E" w14:textId="77777777" w:rsidR="00F84154" w:rsidRPr="00F84154" w:rsidRDefault="00F84154" w:rsidP="007A6EC7">
            <w:pPr>
              <w:pStyle w:val="ListBullet"/>
              <w:numPr>
                <w:ilvl w:val="0"/>
                <w:numId w:val="0"/>
              </w:numPr>
              <w:rPr>
                <w:rFonts w:ascii="Work Sans" w:hAnsi="Work Sans"/>
              </w:rPr>
            </w:pPr>
          </w:p>
          <w:p w14:paraId="56882B94" w14:textId="77777777" w:rsidR="00240E79" w:rsidRDefault="00240E79" w:rsidP="008365CA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Work Sans" w:hAnsi="Work Sans"/>
                <w:b/>
                <w:sz w:val="24"/>
                <w:szCs w:val="24"/>
              </w:rPr>
            </w:pPr>
          </w:p>
        </w:tc>
      </w:tr>
    </w:tbl>
    <w:p w14:paraId="138BF43B" w14:textId="77777777" w:rsidR="009D0164" w:rsidRDefault="009D0164" w:rsidP="007059DE">
      <w:pPr>
        <w:rPr>
          <w:rFonts w:ascii="Work Sans" w:hAnsi="Work Sans"/>
          <w:b/>
          <w:sz w:val="24"/>
          <w:szCs w:val="24"/>
        </w:rPr>
      </w:pPr>
    </w:p>
    <w:p w14:paraId="5DB90FFB" w14:textId="77777777" w:rsidR="009D0164" w:rsidRDefault="009D0164" w:rsidP="007059DE">
      <w:pPr>
        <w:rPr>
          <w:rFonts w:ascii="Work Sans" w:hAnsi="Work Sans"/>
          <w:b/>
          <w:sz w:val="24"/>
          <w:szCs w:val="24"/>
        </w:rPr>
      </w:pPr>
    </w:p>
    <w:p w14:paraId="60BA81DE" w14:textId="77777777" w:rsidR="009D0164" w:rsidRDefault="009D0164" w:rsidP="007059DE">
      <w:pPr>
        <w:rPr>
          <w:rFonts w:ascii="Work Sans" w:hAnsi="Work Sans"/>
          <w:b/>
          <w:sz w:val="24"/>
          <w:szCs w:val="24"/>
        </w:rPr>
      </w:pPr>
    </w:p>
    <w:p w14:paraId="4C14901A" w14:textId="77777777" w:rsidR="009D0164" w:rsidRDefault="009D0164" w:rsidP="007059DE">
      <w:pPr>
        <w:rPr>
          <w:rFonts w:ascii="Work Sans" w:hAnsi="Work Sans"/>
          <w:b/>
          <w:sz w:val="24"/>
          <w:szCs w:val="24"/>
        </w:rPr>
      </w:pPr>
    </w:p>
    <w:p w14:paraId="3BFAE065" w14:textId="77777777" w:rsidR="009D0164" w:rsidRDefault="009D0164" w:rsidP="007059DE">
      <w:pPr>
        <w:rPr>
          <w:rFonts w:ascii="Work Sans" w:hAnsi="Work Sans"/>
          <w:b/>
          <w:sz w:val="24"/>
          <w:szCs w:val="24"/>
        </w:rPr>
      </w:pPr>
    </w:p>
    <w:sectPr w:rsidR="009D01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18E8" w14:textId="77777777" w:rsidR="00120793" w:rsidRDefault="00120793" w:rsidP="00DF2DC6">
      <w:pPr>
        <w:spacing w:after="0" w:line="240" w:lineRule="auto"/>
      </w:pPr>
      <w:r>
        <w:separator/>
      </w:r>
    </w:p>
  </w:endnote>
  <w:endnote w:type="continuationSeparator" w:id="0">
    <w:p w14:paraId="0264D3FA" w14:textId="77777777" w:rsidR="00120793" w:rsidRDefault="00120793" w:rsidP="00DF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D5AC" w14:textId="283C195C" w:rsidR="000E2621" w:rsidRPr="000E2621" w:rsidRDefault="000E2621">
    <w:pPr>
      <w:pStyle w:val="Footer"/>
      <w:rPr>
        <w:lang w:val="da-DK"/>
      </w:rPr>
    </w:pPr>
    <w:r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12ED949A" wp14:editId="73ACBFB5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589527" cy="288438"/>
          <wp:effectExtent l="0" t="0" r="1270" b="0"/>
          <wp:wrapThrough wrapText="bothSides">
            <wp:wrapPolygon edited="0">
              <wp:start x="0" y="0"/>
              <wp:lineTo x="0" y="19982"/>
              <wp:lineTo x="20948" y="19982"/>
              <wp:lineTo x="20948" y="0"/>
              <wp:lineTo x="0" y="0"/>
            </wp:wrapPolygon>
          </wp:wrapThrough>
          <wp:docPr id="2" name="Picture 2" descr="cid:image001.png@01D5D505.4D607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png@01D5D505.4D607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27" cy="28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a-DK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7FAE" w14:textId="77777777" w:rsidR="00120793" w:rsidRDefault="00120793" w:rsidP="00DF2DC6">
      <w:pPr>
        <w:spacing w:after="0" w:line="240" w:lineRule="auto"/>
      </w:pPr>
      <w:r>
        <w:separator/>
      </w:r>
    </w:p>
  </w:footnote>
  <w:footnote w:type="continuationSeparator" w:id="0">
    <w:p w14:paraId="0A017C9A" w14:textId="77777777" w:rsidR="00120793" w:rsidRDefault="00120793" w:rsidP="00DF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B149" w14:textId="019F23A8" w:rsidR="00DF2DC6" w:rsidRPr="00DF2DC6" w:rsidRDefault="00DF2DC6">
    <w:pPr>
      <w:pStyle w:val="Header"/>
      <w:rPr>
        <w:lang w:val="da-DK"/>
      </w:rPr>
    </w:pPr>
    <w:r>
      <w:rPr>
        <w:lang w:val="da-DK"/>
      </w:rPr>
      <w:t xml:space="preserve"> </w:t>
    </w:r>
    <w:r>
      <w:rPr>
        <w:noProof/>
        <w:color w:val="002060"/>
      </w:rPr>
      <w:t xml:space="preserve">                                                                                                                                     </w:t>
    </w:r>
    <w:r>
      <w:rPr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286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536DDB"/>
    <w:multiLevelType w:val="hybridMultilevel"/>
    <w:tmpl w:val="CC4C14C8"/>
    <w:lvl w:ilvl="0" w:tplc="623E598C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A29"/>
    <w:multiLevelType w:val="hybridMultilevel"/>
    <w:tmpl w:val="FEC0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6821"/>
    <w:multiLevelType w:val="hybridMultilevel"/>
    <w:tmpl w:val="DBB4036E"/>
    <w:lvl w:ilvl="0" w:tplc="0914C180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98472">
    <w:abstractNumId w:val="2"/>
  </w:num>
  <w:num w:numId="2" w16cid:durableId="1465386010">
    <w:abstractNumId w:val="0"/>
  </w:num>
  <w:num w:numId="3" w16cid:durableId="290788866">
    <w:abstractNumId w:val="3"/>
  </w:num>
  <w:num w:numId="4" w16cid:durableId="1871338142">
    <w:abstractNumId w:val="1"/>
  </w:num>
  <w:num w:numId="5" w16cid:durableId="1679381159">
    <w:abstractNumId w:val="0"/>
  </w:num>
  <w:num w:numId="6" w16cid:durableId="182042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70"/>
    <w:rsid w:val="00020A30"/>
    <w:rsid w:val="00071772"/>
    <w:rsid w:val="000E2621"/>
    <w:rsid w:val="000F3755"/>
    <w:rsid w:val="00120793"/>
    <w:rsid w:val="00240E79"/>
    <w:rsid w:val="00285E61"/>
    <w:rsid w:val="002A00B3"/>
    <w:rsid w:val="002C3A4A"/>
    <w:rsid w:val="00326DCB"/>
    <w:rsid w:val="00331487"/>
    <w:rsid w:val="00350077"/>
    <w:rsid w:val="003D6761"/>
    <w:rsid w:val="003E63C2"/>
    <w:rsid w:val="00445620"/>
    <w:rsid w:val="00490CA4"/>
    <w:rsid w:val="004C16D9"/>
    <w:rsid w:val="004E4D65"/>
    <w:rsid w:val="0051058D"/>
    <w:rsid w:val="00572A69"/>
    <w:rsid w:val="006A71D3"/>
    <w:rsid w:val="00704163"/>
    <w:rsid w:val="007059DE"/>
    <w:rsid w:val="00777EC5"/>
    <w:rsid w:val="007A270A"/>
    <w:rsid w:val="007A6EC7"/>
    <w:rsid w:val="007D3BB0"/>
    <w:rsid w:val="007E7789"/>
    <w:rsid w:val="008365CA"/>
    <w:rsid w:val="008E3C1A"/>
    <w:rsid w:val="009D0164"/>
    <w:rsid w:val="00A62020"/>
    <w:rsid w:val="00AF14E5"/>
    <w:rsid w:val="00BA5FDA"/>
    <w:rsid w:val="00BB7965"/>
    <w:rsid w:val="00C22163"/>
    <w:rsid w:val="00C47275"/>
    <w:rsid w:val="00C93399"/>
    <w:rsid w:val="00CC639C"/>
    <w:rsid w:val="00CF1CD5"/>
    <w:rsid w:val="00D1043D"/>
    <w:rsid w:val="00D630FA"/>
    <w:rsid w:val="00DB6BEE"/>
    <w:rsid w:val="00DD0970"/>
    <w:rsid w:val="00DE3BEF"/>
    <w:rsid w:val="00DF2DC6"/>
    <w:rsid w:val="00E50C44"/>
    <w:rsid w:val="00E856B4"/>
    <w:rsid w:val="00E91D71"/>
    <w:rsid w:val="00EA0FC0"/>
    <w:rsid w:val="00F84154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FB07C"/>
  <w15:chartTrackingRefBased/>
  <w15:docId w15:val="{DD6E55DF-640F-49F4-9F21-CA36208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C6"/>
  </w:style>
  <w:style w:type="paragraph" w:styleId="Footer">
    <w:name w:val="footer"/>
    <w:basedOn w:val="Normal"/>
    <w:link w:val="FooterChar"/>
    <w:uiPriority w:val="99"/>
    <w:unhideWhenUsed/>
    <w:rsid w:val="00D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C6"/>
  </w:style>
  <w:style w:type="table" w:styleId="TableGrid">
    <w:name w:val="Table Grid"/>
    <w:basedOn w:val="TableNormal"/>
    <w:uiPriority w:val="39"/>
    <w:rsid w:val="00DF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9DE"/>
    <w:rPr>
      <w:color w:val="0563C1" w:themeColor="hyperlink"/>
      <w:u w:val="single"/>
    </w:rPr>
  </w:style>
  <w:style w:type="paragraph" w:customStyle="1" w:styleId="Default">
    <w:name w:val="Default"/>
    <w:basedOn w:val="Normal"/>
    <w:rsid w:val="007059DE"/>
    <w:pPr>
      <w:autoSpaceDE w:val="0"/>
      <w:autoSpaceDN w:val="0"/>
      <w:spacing w:after="0" w:line="240" w:lineRule="auto"/>
    </w:pPr>
    <w:rPr>
      <w:rFonts w:ascii="Work Sans" w:hAnsi="Work Sans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40E7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F841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CDCA.32175F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CDCA.32175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579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Dennis Dybdal Børsting</dc:creator>
  <cp:keywords/>
  <dc:description/>
  <cp:lastModifiedBy>Mariam Sammane</cp:lastModifiedBy>
  <cp:revision>2</cp:revision>
  <dcterms:created xsi:type="dcterms:W3CDTF">2023-08-25T08:18:00Z</dcterms:created>
  <dcterms:modified xsi:type="dcterms:W3CDTF">2023-08-25T08:18:00Z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